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ED" w:rsidRPr="00FF0EB7" w:rsidRDefault="005728F8" w:rsidP="00FF0EB7">
      <w:pPr>
        <w:spacing w:line="0" w:lineRule="atLeast"/>
        <w:jc w:val="center"/>
        <w:rPr>
          <w:rFonts w:ascii="微軟正黑體" w:eastAsia="微軟正黑體" w:hAnsi="微軟正黑體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24"/>
        </w:rPr>
        <w:t>社會學程選擇</w:t>
      </w:r>
      <w:r w:rsidR="00FF0EB7" w:rsidRPr="00FF0EB7">
        <w:rPr>
          <w:rFonts w:ascii="微軟正黑體" w:eastAsia="微軟正黑體" w:hAnsi="微軟正黑體" w:hint="eastAsia"/>
          <w:sz w:val="32"/>
          <w:szCs w:val="24"/>
        </w:rPr>
        <w:t>數學A與數學B的差異</w:t>
      </w:r>
      <w:r>
        <w:rPr>
          <w:rFonts w:ascii="微軟正黑體" w:eastAsia="微軟正黑體" w:hAnsi="微軟正黑體" w:hint="eastAsia"/>
          <w:sz w:val="32"/>
          <w:szCs w:val="24"/>
        </w:rPr>
        <w:t>(非自然學程)</w:t>
      </w:r>
    </w:p>
    <w:p w:rsidR="00FA0FBB" w:rsidRDefault="003B4D3B" w:rsidP="00FF0EB7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396875</wp:posOffset>
            </wp:positionV>
            <wp:extent cx="1383665" cy="1085215"/>
            <wp:effectExtent l="19050" t="0" r="6985" b="0"/>
            <wp:wrapTight wrapText="bothSides">
              <wp:wrapPolygon edited="0">
                <wp:start x="-297" y="0"/>
                <wp:lineTo x="-297" y="21233"/>
                <wp:lineTo x="21709" y="21233"/>
                <wp:lineTo x="21709" y="0"/>
                <wp:lineTo x="-297" y="0"/>
              </wp:wrapPolygon>
            </wp:wrapTight>
            <wp:docPr id="4" name="圖片 4" descr="C:\Users\t0285\Desktop\數學AB圖形關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0285\Desktop\數學AB圖形關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096">
        <w:rPr>
          <w:rFonts w:ascii="微軟正黑體" w:eastAsia="微軟正黑體" w:hAnsi="微軟正黑體" w:hint="eastAsia"/>
          <w:szCs w:val="24"/>
        </w:rPr>
        <w:t>高二數學區分數學A與數學B，</w:t>
      </w:r>
      <w:r w:rsidR="00FA0FBB">
        <w:rPr>
          <w:rFonts w:ascii="微軟正黑體" w:eastAsia="微軟正黑體" w:hAnsi="微軟正黑體" w:hint="eastAsia"/>
          <w:szCs w:val="24"/>
        </w:rPr>
        <w:t>為</w:t>
      </w:r>
      <w:r w:rsidR="00257096">
        <w:rPr>
          <w:rFonts w:ascii="微軟正黑體" w:eastAsia="微軟正黑體" w:hAnsi="微軟正黑體" w:hint="eastAsia"/>
          <w:szCs w:val="24"/>
        </w:rPr>
        <w:t>協助</w:t>
      </w:r>
      <w:r>
        <w:rPr>
          <w:rFonts w:ascii="微軟正黑體" w:eastAsia="微軟正黑體" w:hAnsi="微軟正黑體" w:hint="eastAsia"/>
          <w:szCs w:val="24"/>
        </w:rPr>
        <w:t>各位同學選擇，本校業已招開多次會議，邀請</w:t>
      </w:r>
      <w:r w:rsidR="00FA0FBB">
        <w:rPr>
          <w:rFonts w:ascii="微軟正黑體" w:eastAsia="微軟正黑體" w:hAnsi="微軟正黑體" w:hint="eastAsia"/>
          <w:szCs w:val="24"/>
        </w:rPr>
        <w:t>數學教師、導師與課諮</w:t>
      </w:r>
      <w:r w:rsidR="00825B92">
        <w:rPr>
          <w:rFonts w:ascii="微軟正黑體" w:eastAsia="微軟正黑體" w:hAnsi="微軟正黑體" w:hint="eastAsia"/>
          <w:szCs w:val="24"/>
        </w:rPr>
        <w:t>教</w:t>
      </w:r>
      <w:r w:rsidR="00FA0FBB">
        <w:rPr>
          <w:rFonts w:ascii="微軟正黑體" w:eastAsia="微軟正黑體" w:hAnsi="微軟正黑體" w:hint="eastAsia"/>
          <w:szCs w:val="24"/>
        </w:rPr>
        <w:t>師</w:t>
      </w:r>
      <w:r>
        <w:rPr>
          <w:rFonts w:ascii="微軟正黑體" w:eastAsia="微軟正黑體" w:hAnsi="微軟正黑體" w:hint="eastAsia"/>
          <w:szCs w:val="24"/>
        </w:rPr>
        <w:t>討論並取得共識。</w:t>
      </w:r>
      <w:r w:rsidR="00FA0FBB">
        <w:rPr>
          <w:rFonts w:ascii="微軟正黑體" w:eastAsia="微軟正黑體" w:hAnsi="微軟正黑體" w:hint="eastAsia"/>
          <w:szCs w:val="24"/>
        </w:rPr>
        <w:t>並預定於6/10由課諮</w:t>
      </w:r>
      <w:r w:rsidR="00825B92">
        <w:rPr>
          <w:rFonts w:ascii="微軟正黑體" w:eastAsia="微軟正黑體" w:hAnsi="微軟正黑體" w:hint="eastAsia"/>
          <w:szCs w:val="24"/>
        </w:rPr>
        <w:t>教</w:t>
      </w:r>
      <w:r w:rsidR="00FA0FBB">
        <w:rPr>
          <w:rFonts w:ascii="微軟正黑體" w:eastAsia="微軟正黑體" w:hAnsi="微軟正黑體" w:hint="eastAsia"/>
          <w:szCs w:val="24"/>
        </w:rPr>
        <w:t>師</w:t>
      </w:r>
      <w:r w:rsidR="00825B92">
        <w:rPr>
          <w:rFonts w:ascii="微軟正黑體" w:eastAsia="微軟正黑體" w:hAnsi="微軟正黑體" w:hint="eastAsia"/>
          <w:szCs w:val="24"/>
        </w:rPr>
        <w:t>入班</w:t>
      </w:r>
      <w:r w:rsidR="00FA0FBB">
        <w:rPr>
          <w:rFonts w:ascii="微軟正黑體" w:eastAsia="微軟正黑體" w:hAnsi="微軟正黑體" w:hint="eastAsia"/>
          <w:szCs w:val="24"/>
        </w:rPr>
        <w:t>宣導。節錄部分會議資料提供家長了解。</w:t>
      </w:r>
    </w:p>
    <w:p w:rsidR="00FA0FBB" w:rsidRDefault="00FA0FBB" w:rsidP="00FB5D20">
      <w:pPr>
        <w:spacing w:line="0" w:lineRule="atLeast"/>
        <w:ind w:left="480" w:hangingChars="200" w:hanging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</w:t>
      </w:r>
      <w:r w:rsidR="00FF0EB7">
        <w:rPr>
          <w:rFonts w:ascii="微軟正黑體" w:eastAsia="微軟正黑體" w:hAnsi="微軟正黑體" w:hint="eastAsia"/>
          <w:szCs w:val="24"/>
        </w:rPr>
        <w:t>假設全部數學為10分，數學A為9分(另外1分是B的)；數學B為7分(3分為A的)。</w:t>
      </w:r>
      <w:r w:rsidR="00257096" w:rsidRPr="005049DF">
        <w:rPr>
          <w:rFonts w:ascii="微軟正黑體" w:eastAsia="微軟正黑體" w:hAnsi="微軟正黑體" w:hint="eastAsia"/>
          <w:szCs w:val="24"/>
          <w:shd w:val="pct15" w:color="auto" w:fill="FFFFFF"/>
        </w:rPr>
        <w:t>數學A雖然包含較廣，但相對難度</w:t>
      </w:r>
      <w:r w:rsidRPr="005049DF">
        <w:rPr>
          <w:rFonts w:ascii="微軟正黑體" w:eastAsia="微軟正黑體" w:hAnsi="微軟正黑體" w:hint="eastAsia"/>
          <w:szCs w:val="24"/>
          <w:shd w:val="pct15" w:color="auto" w:fill="FFFFFF"/>
        </w:rPr>
        <w:t>也大為提升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FA0FBB" w:rsidRDefault="00FA0FBB" w:rsidP="00FB5D20">
      <w:pPr>
        <w:spacing w:line="0" w:lineRule="atLeast"/>
        <w:ind w:left="480" w:hangingChars="200" w:hanging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二、選擇社會組數學A與數學B前，</w:t>
      </w:r>
      <w:r w:rsidR="00257096">
        <w:rPr>
          <w:rFonts w:ascii="微軟正黑體" w:eastAsia="微軟正黑體" w:hAnsi="微軟正黑體" w:hint="eastAsia"/>
          <w:szCs w:val="24"/>
        </w:rPr>
        <w:t>需自行評估以下幾點。</w:t>
      </w:r>
    </w:p>
    <w:p w:rsidR="00257096" w:rsidRDefault="00257096" w:rsidP="00FB5D20">
      <w:pPr>
        <w:spacing w:line="0" w:lineRule="atLeas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(1)難度是否</w:t>
      </w:r>
      <w:r w:rsidR="00FA0FBB">
        <w:rPr>
          <w:rFonts w:ascii="微軟正黑體" w:eastAsia="微軟正黑體" w:hAnsi="微軟正黑體" w:hint="eastAsia"/>
          <w:szCs w:val="24"/>
        </w:rPr>
        <w:t>適合自己：會</w:t>
      </w:r>
      <w:r>
        <w:rPr>
          <w:rFonts w:ascii="微軟正黑體" w:eastAsia="微軟正黑體" w:hAnsi="微軟正黑體" w:hint="eastAsia"/>
          <w:szCs w:val="24"/>
        </w:rPr>
        <w:t>不會有跟不上進度的問題。(</w:t>
      </w:r>
      <w:r w:rsidR="003B4D3B">
        <w:rPr>
          <w:rFonts w:ascii="微軟正黑體" w:eastAsia="微軟正黑體" w:hAnsi="微軟正黑體" w:hint="eastAsia"/>
          <w:szCs w:val="24"/>
        </w:rPr>
        <w:t>衍生成績低落、信心不足等</w:t>
      </w:r>
      <w:r>
        <w:rPr>
          <w:rFonts w:ascii="微軟正黑體" w:eastAsia="微軟正黑體" w:hAnsi="微軟正黑體" w:hint="eastAsia"/>
          <w:szCs w:val="24"/>
        </w:rPr>
        <w:t>的問題)</w:t>
      </w:r>
    </w:p>
    <w:p w:rsidR="00257096" w:rsidRDefault="00257096" w:rsidP="00FB5D20">
      <w:pPr>
        <w:spacing w:line="0" w:lineRule="atLeast"/>
        <w:ind w:leftChars="200" w:left="720" w:hangingChars="100" w:hanging="2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(2)大學</w:t>
      </w:r>
      <w:r w:rsidR="00FA0FBB">
        <w:rPr>
          <w:rFonts w:ascii="微軟正黑體" w:eastAsia="微軟正黑體" w:hAnsi="微軟正黑體" w:hint="eastAsia"/>
          <w:szCs w:val="24"/>
        </w:rPr>
        <w:t>的科系</w:t>
      </w:r>
      <w:r>
        <w:rPr>
          <w:rFonts w:ascii="微軟正黑體" w:eastAsia="微軟正黑體" w:hAnsi="微軟正黑體" w:hint="eastAsia"/>
          <w:szCs w:val="24"/>
        </w:rPr>
        <w:t>是否有參採數學A</w:t>
      </w:r>
      <w:r w:rsidR="00825B92">
        <w:rPr>
          <w:rFonts w:ascii="微軟正黑體" w:eastAsia="微軟正黑體" w:hAnsi="微軟正黑體" w:hint="eastAsia"/>
          <w:szCs w:val="24"/>
        </w:rPr>
        <w:t>：</w:t>
      </w:r>
    </w:p>
    <w:p w:rsidR="00FA0FBB" w:rsidRDefault="00FA0FBB" w:rsidP="003B4D3B">
      <w:pPr>
        <w:spacing w:line="0" w:lineRule="atLeast"/>
        <w:ind w:leftChars="300" w:left="960" w:hangingChars="100" w:hanging="2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1.</w:t>
      </w:r>
      <w:r w:rsidRPr="00215256">
        <w:rPr>
          <w:rFonts w:ascii="微軟正黑體" w:eastAsia="微軟正黑體" w:hAnsi="微軟正黑體" w:hint="eastAsia"/>
          <w:color w:val="FF0000"/>
          <w:szCs w:val="24"/>
          <w:u w:val="single"/>
        </w:rPr>
        <w:t>依據各科系指考考科歸類</w:t>
      </w:r>
      <w:r w:rsidRPr="00215256">
        <w:rPr>
          <w:rFonts w:ascii="微軟正黑體" w:eastAsia="微軟正黑體" w:hAnsi="微軟正黑體" w:hint="eastAsia"/>
          <w:szCs w:val="24"/>
          <w:u w:val="single"/>
        </w:rPr>
        <w:t>，</w:t>
      </w:r>
      <w:r w:rsidRPr="00215256">
        <w:rPr>
          <w:rFonts w:ascii="微軟正黑體" w:eastAsia="微軟正黑體" w:hAnsi="微軟正黑體" w:hint="eastAsia"/>
          <w:szCs w:val="24"/>
          <w:u w:val="single"/>
          <w:shd w:val="pct15" w:color="auto" w:fill="FFFFFF"/>
        </w:rPr>
        <w:t>歷史、地理、公民至少考一科</w:t>
      </w:r>
      <w:r w:rsidRPr="00215256">
        <w:rPr>
          <w:rFonts w:ascii="微軟正黑體" w:eastAsia="微軟正黑體" w:hAnsi="微軟正黑體" w:hint="eastAsia"/>
          <w:szCs w:val="24"/>
          <w:u w:val="single"/>
        </w:rPr>
        <w:t>者或僅考</w:t>
      </w:r>
      <w:r w:rsidRPr="00215256">
        <w:rPr>
          <w:rFonts w:ascii="微軟正黑體" w:eastAsia="微軟正黑體" w:hAnsi="微軟正黑體" w:hint="eastAsia"/>
          <w:szCs w:val="24"/>
          <w:u w:val="single"/>
          <w:shd w:val="pct15" w:color="auto" w:fill="FFFFFF"/>
        </w:rPr>
        <w:t>國文、英文、數學乙</w:t>
      </w:r>
      <w:r w:rsidRPr="00215256">
        <w:rPr>
          <w:rFonts w:ascii="微軟正黑體" w:eastAsia="微軟正黑體" w:hAnsi="微軟正黑體" w:hint="eastAsia"/>
          <w:szCs w:val="24"/>
          <w:u w:val="single"/>
        </w:rPr>
        <w:t>者</w:t>
      </w:r>
      <w:r w:rsidRPr="00215256">
        <w:rPr>
          <w:rFonts w:ascii="微軟正黑體" w:eastAsia="微軟正黑體" w:hAnsi="微軟正黑體" w:hint="eastAsia"/>
          <w:color w:val="FF0000"/>
          <w:szCs w:val="24"/>
          <w:u w:val="single"/>
        </w:rPr>
        <w:t>定義為社會組</w:t>
      </w:r>
      <w:bookmarkStart w:id="0" w:name="_GoBack"/>
      <w:bookmarkEnd w:id="0"/>
      <w:r w:rsidRPr="00FA0FBB">
        <w:rPr>
          <w:rFonts w:ascii="微軟正黑體" w:eastAsia="微軟正黑體" w:hAnsi="微軟正黑體" w:hint="eastAsia"/>
          <w:szCs w:val="24"/>
        </w:rPr>
        <w:t>；</w:t>
      </w:r>
      <w:r w:rsidRPr="00FA0FBB">
        <w:rPr>
          <w:rFonts w:ascii="微軟正黑體" w:eastAsia="微軟正黑體" w:hAnsi="微軟正黑體" w:hint="eastAsia"/>
          <w:szCs w:val="24"/>
          <w:shd w:val="pct15" w:color="auto" w:fill="FFFFFF"/>
        </w:rPr>
        <w:t>物理、化學、生物至少考一科</w:t>
      </w:r>
      <w:r w:rsidRPr="00FA0FBB">
        <w:rPr>
          <w:rFonts w:ascii="微軟正黑體" w:eastAsia="微軟正黑體" w:hAnsi="微軟正黑體" w:hint="eastAsia"/>
          <w:szCs w:val="24"/>
        </w:rPr>
        <w:t>者或僅考</w:t>
      </w:r>
      <w:r w:rsidRPr="00FA0FBB">
        <w:rPr>
          <w:rFonts w:ascii="微軟正黑體" w:eastAsia="微軟正黑體" w:hAnsi="微軟正黑體" w:hint="eastAsia"/>
          <w:szCs w:val="24"/>
          <w:shd w:val="pct15" w:color="auto" w:fill="FFFFFF"/>
        </w:rPr>
        <w:t>國文、英文、數學甲</w:t>
      </w:r>
      <w:r w:rsidRPr="00FA0FBB">
        <w:rPr>
          <w:rFonts w:ascii="微軟正黑體" w:eastAsia="微軟正黑體" w:hAnsi="微軟正黑體" w:hint="eastAsia"/>
          <w:szCs w:val="24"/>
        </w:rPr>
        <w:t>者定義為自然組；僅考國文、英文或術科者定義為其他。</w:t>
      </w:r>
      <w:r>
        <w:rPr>
          <w:rFonts w:ascii="微軟正黑體" w:eastAsia="微軟正黑體" w:hAnsi="微軟正黑體" w:hint="eastAsia"/>
          <w:szCs w:val="24"/>
        </w:rPr>
        <w:t>(</w:t>
      </w:r>
      <w:r w:rsidR="00FB5D20">
        <w:rPr>
          <w:rFonts w:ascii="微軟正黑體" w:eastAsia="微軟正黑體" w:hAnsi="微軟正黑體" w:hint="eastAsia"/>
          <w:szCs w:val="24"/>
        </w:rPr>
        <w:t>如下表</w:t>
      </w:r>
      <w:r>
        <w:rPr>
          <w:rFonts w:ascii="微軟正黑體" w:eastAsia="微軟正黑體" w:hAnsi="微軟正黑體" w:hint="eastAsia"/>
          <w:szCs w:val="24"/>
        </w:rPr>
        <w:t>)</w:t>
      </w:r>
    </w:p>
    <w:p w:rsidR="00257096" w:rsidRDefault="00FA0FBB" w:rsidP="003B4D3B">
      <w:pPr>
        <w:spacing w:line="0" w:lineRule="atLeast"/>
        <w:ind w:leftChars="300" w:left="960" w:hangingChars="100" w:hanging="24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</w:t>
      </w:r>
      <w:r w:rsidR="00257096">
        <w:rPr>
          <w:rFonts w:ascii="微軟正黑體" w:eastAsia="微軟正黑體" w:hAnsi="微軟正黑體" w:hint="eastAsia"/>
          <w:szCs w:val="24"/>
        </w:rPr>
        <w:t>.依據</w:t>
      </w:r>
      <w:r>
        <w:rPr>
          <w:rFonts w:ascii="微軟正黑體" w:eastAsia="微軟正黑體" w:hAnsi="微軟正黑體" w:hint="eastAsia"/>
          <w:szCs w:val="24"/>
        </w:rPr>
        <w:t>上表</w:t>
      </w:r>
      <w:r w:rsidR="00257096">
        <w:rPr>
          <w:rFonts w:ascii="微軟正黑體" w:eastAsia="微軟正黑體" w:hAnsi="微軟正黑體" w:hint="eastAsia"/>
          <w:szCs w:val="24"/>
        </w:rPr>
        <w:t>數據分析，</w:t>
      </w:r>
      <w:r w:rsidR="00257096" w:rsidRPr="00257096">
        <w:rPr>
          <w:rFonts w:ascii="微軟正黑體" w:eastAsia="微軟正黑體" w:hAnsi="微軟正黑體" w:hint="eastAsia"/>
          <w:szCs w:val="24"/>
        </w:rPr>
        <w:t>傳統選社會學程之科系，參採數學A共計61校系組(佔5.7%)， 參採數學B共計385校系組(佔35.8%)，不參採數學共計596校系組(佔55.4%)。</w:t>
      </w:r>
    </w:p>
    <w:p w:rsidR="00825B92" w:rsidRDefault="00825B92" w:rsidP="00FB5D20">
      <w:pPr>
        <w:spacing w:line="0" w:lineRule="atLeast"/>
        <w:ind w:left="480" w:hangingChars="200" w:hanging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三、修</w:t>
      </w:r>
      <w:r w:rsidRPr="00825B92">
        <w:rPr>
          <w:rFonts w:ascii="微軟正黑體" w:eastAsia="微軟正黑體" w:hAnsi="微軟正黑體" w:hint="eastAsia"/>
          <w:szCs w:val="24"/>
        </w:rPr>
        <w:t>數學B</w:t>
      </w:r>
      <w:r>
        <w:rPr>
          <w:rFonts w:ascii="微軟正黑體" w:eastAsia="微軟正黑體" w:hAnsi="微軟正黑體" w:hint="eastAsia"/>
          <w:szCs w:val="24"/>
        </w:rPr>
        <w:t>也想學習</w:t>
      </w:r>
      <w:r w:rsidRPr="00825B92">
        <w:rPr>
          <w:rFonts w:ascii="微軟正黑體" w:eastAsia="微軟正黑體" w:hAnsi="微軟正黑體" w:hint="eastAsia"/>
          <w:szCs w:val="24"/>
        </w:rPr>
        <w:t>數學A的內容，有2種管道：</w:t>
      </w:r>
    </w:p>
    <w:p w:rsidR="00825B92" w:rsidRDefault="00825B92" w:rsidP="00FB5D20">
      <w:pPr>
        <w:spacing w:line="0" w:lineRule="atLeast"/>
        <w:ind w:leftChars="200" w:left="960" w:hangingChars="200" w:hanging="480"/>
        <w:rPr>
          <w:rFonts w:ascii="微軟正黑體" w:eastAsia="微軟正黑體" w:hAnsi="微軟正黑體"/>
          <w:szCs w:val="24"/>
        </w:rPr>
      </w:pPr>
      <w:r w:rsidRPr="00825B92">
        <w:rPr>
          <w:rFonts w:ascii="微軟正黑體" w:eastAsia="微軟正黑體" w:hAnsi="微軟正黑體" w:hint="eastAsia"/>
          <w:szCs w:val="24"/>
        </w:rPr>
        <w:t>(1)線上課程</w:t>
      </w:r>
      <w:r>
        <w:rPr>
          <w:rFonts w:ascii="微軟正黑體" w:eastAsia="微軟正黑體" w:hAnsi="微軟正黑體" w:hint="eastAsia"/>
          <w:szCs w:val="24"/>
        </w:rPr>
        <w:t>：數學學科中心已規劃相關自學課程，自學16小時。</w:t>
      </w:r>
    </w:p>
    <w:p w:rsidR="006A1D74" w:rsidRPr="00FB5D20" w:rsidRDefault="00825B92" w:rsidP="00FB5D20">
      <w:pPr>
        <w:spacing w:line="0" w:lineRule="atLeast"/>
        <w:ind w:leftChars="200" w:left="960" w:hangingChars="200" w:hanging="480"/>
        <w:rPr>
          <w:rFonts w:ascii="微軟正黑體" w:eastAsia="微軟正黑體" w:hAnsi="微軟正黑體"/>
          <w:szCs w:val="24"/>
        </w:rPr>
      </w:pPr>
      <w:r w:rsidRPr="00FB5D20">
        <w:rPr>
          <w:rFonts w:ascii="微軟正黑體" w:eastAsia="微軟正黑體" w:hAnsi="微軟正黑體" w:hint="eastAsia"/>
          <w:szCs w:val="24"/>
        </w:rPr>
        <w:t>(2)跨班選修：於跑班選修加強部分章節能力。</w:t>
      </w:r>
    </w:p>
    <w:tbl>
      <w:tblPr>
        <w:tblW w:w="495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6"/>
        <w:gridCol w:w="3577"/>
        <w:gridCol w:w="3256"/>
      </w:tblGrid>
      <w:tr w:rsidR="00FB5D20" w:rsidRPr="00FB5D20" w:rsidTr="00FB5D20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20" w:rsidRPr="00215256" w:rsidRDefault="00FB5D20" w:rsidP="00FB5D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1525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社會組參採數學A</w:t>
            </w:r>
            <w:r w:rsidR="00EB0D4B" w:rsidRPr="0021525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之</w:t>
            </w:r>
            <w:r w:rsidRPr="0021525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大學</w:t>
            </w:r>
            <w:r w:rsidR="00EB0D4B" w:rsidRPr="0021525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科系</w:t>
            </w:r>
            <w:r w:rsidRPr="0021525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列表如下</w:t>
            </w:r>
          </w:p>
        </w:tc>
      </w:tr>
      <w:tr w:rsidR="00FB5D20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20" w:rsidRPr="00215256" w:rsidRDefault="00FB5D20" w:rsidP="00FB5D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24"/>
              </w:rPr>
            </w:pPr>
            <w:r w:rsidRPr="002152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24"/>
              </w:rPr>
              <w:t>國立臺灣大學工商管理學系企業管理組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D20" w:rsidRPr="00FB5D20" w:rsidRDefault="00FB5D20" w:rsidP="00FB5D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國立交通大學資訊管理與財務金融學系財務金融組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D20" w:rsidRPr="00FB5D20" w:rsidRDefault="005049DF" w:rsidP="00FB5D2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國立清華大學經濟學系第1組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&amp;</w:t>
            </w: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第2組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215256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24"/>
              </w:rPr>
            </w:pPr>
            <w:r w:rsidRPr="002152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24"/>
              </w:rPr>
              <w:t>國立臺灣大學政治學系公共行政組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國立交通大學管理科學系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國立中山大學資訊管理學系社會組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215256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24"/>
              </w:rPr>
            </w:pPr>
            <w:r w:rsidRPr="002152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24"/>
              </w:rPr>
              <w:t>國立臺灣大學政治學系政治理論組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國立彰化師範大學企業管理學系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國立中山大學資訊管理學系社會組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215256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24"/>
              </w:rPr>
            </w:pPr>
            <w:r w:rsidRPr="002152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24"/>
              </w:rPr>
              <w:t>國立臺灣大學政治學系國際關係組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國立中山大學政治經濟學系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國立東華大學應用數學系統計科學組社會組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215256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24"/>
              </w:rPr>
            </w:pPr>
            <w:r w:rsidRPr="002152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24"/>
              </w:rPr>
              <w:t>國立臺灣大學財務金融學系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國立中山大學政治經濟學系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國立東華大學應用數學系統計科學組社會組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215256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24"/>
              </w:rPr>
            </w:pPr>
            <w:r w:rsidRPr="002152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24"/>
              </w:rPr>
              <w:t>國立臺灣大學國際企業學系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國立中山大學財務管理學系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國立聯合大學資訊工程學系B組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215256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24"/>
              </w:rPr>
            </w:pPr>
            <w:r w:rsidRPr="002152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24"/>
              </w:rPr>
              <w:t>國立臺灣大學會計學系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國立臺北大學企業管理學系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中原大學工業與系統工程學系管理組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215256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24"/>
              </w:rPr>
            </w:pPr>
            <w:r w:rsidRPr="0021525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24"/>
              </w:rPr>
              <w:t>國立臺灣大學經濟學系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國立臺北大學金融與合作經營學系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中原大學工業與系統工程學系管理組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215256" w:rsidP="002152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國立臺灣大學地理環境資源學系B組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國立臺北大學財政學系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東海大學經濟學系一般經濟組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國立政治大學企業管理學系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國立臺北大學統計學系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東海大學經濟學系產業經濟組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國立政治大學地政學系土地資源規劃組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國立臺北大學統計學系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元智大學資訊學院英語學士班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國立政治大學地政學系土地管理組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國立臺北大學會計學系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亞洲大學生物資訊與醫學工程學系生醫資訊組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國立政治大學地政學系土地管理組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國立臺北大學經濟學系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亞洲大學生物資訊與醫學工程學系生醫資訊組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國立政治大學金融學系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215256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國立成功大學經濟學系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亞洲大學生物資訊與醫學工程學系醫學工程組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國立政治大學風險管理與保險學系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國立成功大學都市計劃學系社會組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亞洲大學生物資訊與醫學工程學系醫學工程組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國立政治大學財政學系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國立政治大學統計學系社會組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亞洲大學護理學系高齡長期照護組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國立政治大學財務管理學系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國立政治大學資訊管理學系社會組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銘傳大學電子工程學系半導體光電組桃園校區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國立政治大學國際經營與貿易學系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國立政治大學資訊管理學系社會組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銘傳大學電子工程學系半導體光電組桃園校區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國立政治大學國際經營與貿易學系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國立政治大學經濟學系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真理大學統計資訊與精算學系</w:t>
            </w:r>
          </w:p>
        </w:tc>
      </w:tr>
      <w:tr w:rsidR="005049DF" w:rsidRPr="00FB5D20" w:rsidTr="005049DF">
        <w:trPr>
          <w:trHeight w:val="33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國立政治大學會計學系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國立清華大學計量財務金融學系乙組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DF" w:rsidRPr="00FB5D20" w:rsidRDefault="005049DF" w:rsidP="005049D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FB5D2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真理大學統計資訊與精算學系</w:t>
            </w:r>
          </w:p>
        </w:tc>
      </w:tr>
    </w:tbl>
    <w:p w:rsidR="00FB5D20" w:rsidRPr="00FB5D20" w:rsidRDefault="00FB5D20" w:rsidP="00FB5D20">
      <w:pPr>
        <w:spacing w:line="0" w:lineRule="atLeast"/>
        <w:rPr>
          <w:rFonts w:ascii="微軟正黑體" w:eastAsia="微軟正黑體" w:hAnsi="微軟正黑體"/>
          <w:szCs w:val="24"/>
        </w:rPr>
      </w:pPr>
    </w:p>
    <w:sectPr w:rsidR="00FB5D20" w:rsidRPr="00FB5D20" w:rsidSect="002A6470">
      <w:headerReference w:type="default" r:id="rId9"/>
      <w:pgSz w:w="11906" w:h="16838" w:code="9"/>
      <w:pgMar w:top="816" w:right="1134" w:bottom="113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F0" w:rsidRDefault="00B75BF0" w:rsidP="00B81A73">
      <w:r>
        <w:separator/>
      </w:r>
    </w:p>
  </w:endnote>
  <w:endnote w:type="continuationSeparator" w:id="0">
    <w:p w:rsidR="00B75BF0" w:rsidRDefault="00B75BF0" w:rsidP="00B8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F0" w:rsidRDefault="00B75BF0" w:rsidP="00B81A73">
      <w:r>
        <w:separator/>
      </w:r>
    </w:p>
  </w:footnote>
  <w:footnote w:type="continuationSeparator" w:id="0">
    <w:p w:rsidR="00B75BF0" w:rsidRDefault="00B75BF0" w:rsidP="00B8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9E" w:rsidRPr="002A6470" w:rsidRDefault="0084339E" w:rsidP="002A6470">
    <w:pPr>
      <w:pStyle w:val="a4"/>
      <w:spacing w:line="0" w:lineRule="atLeast"/>
      <w:rPr>
        <w:rFonts w:ascii="微軟正黑體" w:eastAsia="微軟正黑體" w:hAnsi="微軟正黑體"/>
      </w:rPr>
    </w:pPr>
    <w:r w:rsidRPr="002A6470">
      <w:rPr>
        <w:rFonts w:ascii="微軟正黑體" w:eastAsia="微軟正黑體" w:hAnsi="微軟正黑體" w:hint="eastAsia"/>
      </w:rPr>
      <w:t>學校首頁&gt;行政單位&gt;教務處&gt;註冊組&gt;表單下載區&gt;高一升高二學程組別調查表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550"/>
    <w:multiLevelType w:val="hybridMultilevel"/>
    <w:tmpl w:val="61986418"/>
    <w:lvl w:ilvl="0" w:tplc="10305D00">
      <w:start w:val="1"/>
      <w:numFmt w:val="bullet"/>
      <w:lvlText w:val="□"/>
      <w:lvlJc w:val="left"/>
      <w:pPr>
        <w:tabs>
          <w:tab w:val="num" w:pos="1321"/>
        </w:tabs>
        <w:ind w:left="13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1" w15:restartNumberingAfterBreak="0">
    <w:nsid w:val="21BE1E64"/>
    <w:multiLevelType w:val="singleLevel"/>
    <w:tmpl w:val="38A0A910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420"/>
      </w:pPr>
      <w:rPr>
        <w:rFonts w:hint="default"/>
      </w:rPr>
    </w:lvl>
  </w:abstractNum>
  <w:abstractNum w:abstractNumId="2" w15:restartNumberingAfterBreak="0">
    <w:nsid w:val="2CC40730"/>
    <w:multiLevelType w:val="singleLevel"/>
    <w:tmpl w:val="D2CA24CE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4376E"/>
    <w:rsid w:val="00037BCD"/>
    <w:rsid w:val="00070D45"/>
    <w:rsid w:val="00094179"/>
    <w:rsid w:val="000F48C7"/>
    <w:rsid w:val="001005A6"/>
    <w:rsid w:val="00133D9A"/>
    <w:rsid w:val="00161ACB"/>
    <w:rsid w:val="001867D4"/>
    <w:rsid w:val="001A4BDD"/>
    <w:rsid w:val="001B5310"/>
    <w:rsid w:val="001B5EF9"/>
    <w:rsid w:val="001C6BDD"/>
    <w:rsid w:val="001D6461"/>
    <w:rsid w:val="001F0A02"/>
    <w:rsid w:val="00215256"/>
    <w:rsid w:val="00257096"/>
    <w:rsid w:val="00270C02"/>
    <w:rsid w:val="00273C5E"/>
    <w:rsid w:val="00280373"/>
    <w:rsid w:val="00297BAD"/>
    <w:rsid w:val="002A5DE1"/>
    <w:rsid w:val="002A6470"/>
    <w:rsid w:val="002B39F9"/>
    <w:rsid w:val="002B5F7E"/>
    <w:rsid w:val="002E4003"/>
    <w:rsid w:val="0034376E"/>
    <w:rsid w:val="003462ED"/>
    <w:rsid w:val="003662A8"/>
    <w:rsid w:val="0039474A"/>
    <w:rsid w:val="003B4D3B"/>
    <w:rsid w:val="003B67C8"/>
    <w:rsid w:val="003C1F45"/>
    <w:rsid w:val="00410AD8"/>
    <w:rsid w:val="00451E72"/>
    <w:rsid w:val="00463CB4"/>
    <w:rsid w:val="00487047"/>
    <w:rsid w:val="0049453D"/>
    <w:rsid w:val="004A502D"/>
    <w:rsid w:val="004E6057"/>
    <w:rsid w:val="004F1AC9"/>
    <w:rsid w:val="005049DF"/>
    <w:rsid w:val="005141C8"/>
    <w:rsid w:val="0052578C"/>
    <w:rsid w:val="00551E2B"/>
    <w:rsid w:val="005728F8"/>
    <w:rsid w:val="005B179A"/>
    <w:rsid w:val="005C68DB"/>
    <w:rsid w:val="005E7078"/>
    <w:rsid w:val="00620655"/>
    <w:rsid w:val="00630165"/>
    <w:rsid w:val="00641EAE"/>
    <w:rsid w:val="006523BC"/>
    <w:rsid w:val="0065512D"/>
    <w:rsid w:val="00661240"/>
    <w:rsid w:val="00682FC3"/>
    <w:rsid w:val="006A1D74"/>
    <w:rsid w:val="006C41C4"/>
    <w:rsid w:val="006C6384"/>
    <w:rsid w:val="006D3374"/>
    <w:rsid w:val="006E18C7"/>
    <w:rsid w:val="006E4111"/>
    <w:rsid w:val="006F138D"/>
    <w:rsid w:val="00717DF3"/>
    <w:rsid w:val="00743AC1"/>
    <w:rsid w:val="007D68B6"/>
    <w:rsid w:val="007E4A7C"/>
    <w:rsid w:val="0081099E"/>
    <w:rsid w:val="00825B92"/>
    <w:rsid w:val="0084339E"/>
    <w:rsid w:val="00851379"/>
    <w:rsid w:val="00853223"/>
    <w:rsid w:val="00885881"/>
    <w:rsid w:val="008B1FA9"/>
    <w:rsid w:val="008B36AF"/>
    <w:rsid w:val="008B6701"/>
    <w:rsid w:val="008C46BF"/>
    <w:rsid w:val="008C7113"/>
    <w:rsid w:val="008D167C"/>
    <w:rsid w:val="008D75D9"/>
    <w:rsid w:val="009223E6"/>
    <w:rsid w:val="009361B0"/>
    <w:rsid w:val="0095136D"/>
    <w:rsid w:val="00954FA5"/>
    <w:rsid w:val="00957EEC"/>
    <w:rsid w:val="00984D3D"/>
    <w:rsid w:val="00997293"/>
    <w:rsid w:val="009D39EB"/>
    <w:rsid w:val="00A25518"/>
    <w:rsid w:val="00A272ED"/>
    <w:rsid w:val="00A42F1D"/>
    <w:rsid w:val="00A5507D"/>
    <w:rsid w:val="00A65283"/>
    <w:rsid w:val="00AB396A"/>
    <w:rsid w:val="00AD0AA9"/>
    <w:rsid w:val="00AF2251"/>
    <w:rsid w:val="00B13CE8"/>
    <w:rsid w:val="00B226A6"/>
    <w:rsid w:val="00B324FA"/>
    <w:rsid w:val="00B3787C"/>
    <w:rsid w:val="00B456E7"/>
    <w:rsid w:val="00B46715"/>
    <w:rsid w:val="00B52840"/>
    <w:rsid w:val="00B631BD"/>
    <w:rsid w:val="00B65DE4"/>
    <w:rsid w:val="00B72EC1"/>
    <w:rsid w:val="00B7568B"/>
    <w:rsid w:val="00B75BF0"/>
    <w:rsid w:val="00B81A73"/>
    <w:rsid w:val="00B83676"/>
    <w:rsid w:val="00BA0813"/>
    <w:rsid w:val="00BA5938"/>
    <w:rsid w:val="00BD2048"/>
    <w:rsid w:val="00BD5FD7"/>
    <w:rsid w:val="00BD66A3"/>
    <w:rsid w:val="00BE68E0"/>
    <w:rsid w:val="00BF1231"/>
    <w:rsid w:val="00C0765D"/>
    <w:rsid w:val="00C0774D"/>
    <w:rsid w:val="00C16E9B"/>
    <w:rsid w:val="00C21481"/>
    <w:rsid w:val="00C21994"/>
    <w:rsid w:val="00C500D7"/>
    <w:rsid w:val="00C77C3E"/>
    <w:rsid w:val="00C82C07"/>
    <w:rsid w:val="00C86714"/>
    <w:rsid w:val="00CA17CA"/>
    <w:rsid w:val="00CC1489"/>
    <w:rsid w:val="00CC3713"/>
    <w:rsid w:val="00D16801"/>
    <w:rsid w:val="00D23B12"/>
    <w:rsid w:val="00D904DC"/>
    <w:rsid w:val="00D97CED"/>
    <w:rsid w:val="00DA6576"/>
    <w:rsid w:val="00DD6400"/>
    <w:rsid w:val="00DE2C86"/>
    <w:rsid w:val="00DF7009"/>
    <w:rsid w:val="00DF77A0"/>
    <w:rsid w:val="00E16456"/>
    <w:rsid w:val="00E20FBE"/>
    <w:rsid w:val="00E244B4"/>
    <w:rsid w:val="00E3124D"/>
    <w:rsid w:val="00E60399"/>
    <w:rsid w:val="00E70F2D"/>
    <w:rsid w:val="00E86797"/>
    <w:rsid w:val="00E93405"/>
    <w:rsid w:val="00EA49EE"/>
    <w:rsid w:val="00EB0D4B"/>
    <w:rsid w:val="00EB5720"/>
    <w:rsid w:val="00ED7923"/>
    <w:rsid w:val="00F01C24"/>
    <w:rsid w:val="00F6267B"/>
    <w:rsid w:val="00FA0FBB"/>
    <w:rsid w:val="00FB5D20"/>
    <w:rsid w:val="00FD5784"/>
    <w:rsid w:val="00FE19AE"/>
    <w:rsid w:val="00FE2D4A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enu v:ext="edit" fillcolor="none"/>
    </o:shapedefaults>
    <o:shapelayout v:ext="edit">
      <o:idmap v:ext="edit" data="1"/>
    </o:shapelayout>
  </w:shapeDefaults>
  <w:decimalSymbol w:val="."/>
  <w:listSeparator w:val=","/>
  <w15:docId w15:val="{6AFA9A4A-A0F9-4740-A336-393F8E2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4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C0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81A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81A73"/>
    <w:rPr>
      <w:kern w:val="2"/>
    </w:rPr>
  </w:style>
  <w:style w:type="paragraph" w:styleId="a6">
    <w:name w:val="footer"/>
    <w:basedOn w:val="a"/>
    <w:link w:val="a7"/>
    <w:rsid w:val="00B81A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81A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A566D-0024-4ADF-BE8A-43C7E6BE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223</Words>
  <Characters>1272</Characters>
  <Application>Microsoft Office Word</Application>
  <DocSecurity>0</DocSecurity>
  <Lines>10</Lines>
  <Paragraphs>2</Paragraphs>
  <ScaleCrop>false</ScaleCrop>
  <Company>溪湖高中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學生選組單</dc:title>
  <dc:subject/>
  <dc:creator>溪湖高中</dc:creator>
  <cp:keywords/>
  <dc:description/>
  <cp:lastModifiedBy>user</cp:lastModifiedBy>
  <cp:revision>2</cp:revision>
  <cp:lastPrinted>2020-06-05T03:25:00Z</cp:lastPrinted>
  <dcterms:created xsi:type="dcterms:W3CDTF">2020-04-09T01:26:00Z</dcterms:created>
  <dcterms:modified xsi:type="dcterms:W3CDTF">2020-12-25T08:07:00Z</dcterms:modified>
</cp:coreProperties>
</file>